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bookmarkStart w:colFirst="0" w:colLast="0" w:name="_heading=h.1fob9te" w:id="0"/>
      <w:bookmarkEnd w:id="0"/>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Guidance: Buyers should consider including Call Off Schedule 9 (Security) to ensure their Call-Off Contract contains adequate security measures in order to protect Personal Data in compliance with Annex B of the GDPR PPN 03/22]</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7">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“EU GDPR”</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General Data Protection Regulation ((EU) 2016/679);</w:t>
            </w:r>
          </w:p>
        </w:tc>
      </w:tr>
      <w:tr>
        <w:trPr>
          <w:cantSplit w:val="0"/>
          <w:tblHeader w:val="0"/>
        </w:trPr>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“Joint Control”</w:t>
            </w:r>
          </w:p>
        </w:tc>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F">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10">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11">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12">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13">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1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16">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or further provided in writing by the Controller and may not be determined by the Processor.</w:t>
      </w:r>
    </w:p>
    <w:p w:rsidR="00000000" w:rsidDel="00000000" w:rsidP="00000000" w:rsidRDefault="00000000" w:rsidRPr="00000000" w14:paraId="00000017">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8">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9">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A">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B">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C">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p w:rsidR="00000000" w:rsidDel="00000000" w:rsidP="00000000" w:rsidRDefault="00000000" w:rsidRPr="00000000" w14:paraId="0000001D">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p w:rsidR="00000000" w:rsidDel="00000000" w:rsidP="00000000" w:rsidRDefault="00000000" w:rsidRPr="00000000" w14:paraId="0000001E">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or as further provided in writing by the Controller, unless the Processor is required to do otherwise by Law. If it is so required the Processor shall promptly notify the Controller before Processing the Personal Data unless prohibited by Law;</w:t>
      </w:r>
    </w:p>
    <w:p w:rsidR="00000000" w:rsidDel="00000000" w:rsidP="00000000" w:rsidRDefault="00000000" w:rsidRPr="00000000" w14:paraId="0000001F">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which are appropriate to protect against Personal Data Breach,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In the event of the Controller reasonably rejecting Protective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rsidR="00000000" w:rsidDel="00000000" w:rsidP="00000000" w:rsidRDefault="00000000" w:rsidRPr="00000000" w14:paraId="00000020">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21">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22">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w:t>
      </w:r>
    </w:p>
    <w:p w:rsidR="00000000" w:rsidDel="00000000" w:rsidP="00000000" w:rsidRDefault="00000000" w:rsidRPr="00000000" w14:paraId="00000023">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2261"/>
        </w:tabs>
        <w:spacing w:after="120" w:line="240" w:lineRule="auto"/>
        <w:ind w:left="212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and which shall be maintained in accordance with Data Protection Legislation and Good Industry Practice;</w:t>
      </w:r>
    </w:p>
    <w:p w:rsidR="00000000" w:rsidDel="00000000" w:rsidP="00000000" w:rsidRDefault="00000000" w:rsidRPr="00000000" w14:paraId="00000025">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26">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 and the Controller’s further written instructions;</w:t>
      </w:r>
    </w:p>
    <w:p w:rsidR="00000000" w:rsidDel="00000000" w:rsidP="00000000" w:rsidRDefault="00000000" w:rsidRPr="00000000" w14:paraId="00000027">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uses  all reasonable endeavours  to ensure the reliability and integrity of any Processor Personnel who have access to the Personal Data and ensure that they:</w:t>
      </w:r>
    </w:p>
    <w:p w:rsidR="00000000" w:rsidDel="00000000" w:rsidP="00000000" w:rsidRDefault="00000000" w:rsidRPr="00000000" w14:paraId="00000028">
      <w:pPr>
        <w:numPr>
          <w:ilvl w:val="4"/>
          <w:numId w:val="4"/>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9">
      <w:pPr>
        <w:numPr>
          <w:ilvl w:val="4"/>
          <w:numId w:val="4"/>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A">
      <w:pPr>
        <w:numPr>
          <w:ilvl w:val="4"/>
          <w:numId w:val="4"/>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B">
      <w:pPr>
        <w:numPr>
          <w:ilvl w:val="4"/>
          <w:numId w:val="4"/>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2"/>
    <w:bookmarkEnd w:id="2"/>
    <w:p w:rsidR="00000000" w:rsidDel="00000000" w:rsidP="00000000" w:rsidRDefault="00000000" w:rsidRPr="00000000" w14:paraId="0000002C">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unless the prior written consent of the Controller has been obtained and the following conditions are fulfilled:</w:t>
      </w:r>
    </w:p>
    <w:bookmarkStart w:colFirst="0" w:colLast="0" w:name="bookmark=id.3dy6vkm" w:id="3"/>
    <w:bookmarkEnd w:id="3"/>
    <w:p w:rsidR="00000000" w:rsidDel="00000000" w:rsidP="00000000" w:rsidRDefault="00000000" w:rsidRPr="00000000" w14:paraId="0000002D">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section 74 of the DPA 2018); or</w:t>
      </w:r>
    </w:p>
    <w:p w:rsidR="00000000" w:rsidDel="00000000" w:rsidP="00000000" w:rsidRDefault="00000000" w:rsidRPr="00000000" w14:paraId="0000002E">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section 75 of the DPA 2018 ) as determined by the Controller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under section 119A(1) of the DPA 2018, as well as any additional measures determined by the Controller;</w:t>
      </w:r>
    </w:p>
    <w:bookmarkStart w:colFirst="0" w:colLast="0" w:name="bookmark=id.1t3h5sf" w:id="4"/>
    <w:bookmarkEnd w:id="4"/>
    <w:p w:rsidR="00000000" w:rsidDel="00000000" w:rsidP="00000000" w:rsidRDefault="00000000" w:rsidRPr="00000000" w14:paraId="0000002F">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5"/>
    <w:bookmarkEnd w:id="5"/>
    <w:p w:rsidR="00000000" w:rsidDel="00000000" w:rsidP="00000000" w:rsidRDefault="00000000" w:rsidRPr="00000000" w14:paraId="00000030">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6"/>
    <w:bookmarkEnd w:id="6"/>
    <w:p w:rsidR="00000000" w:rsidDel="00000000" w:rsidP="00000000" w:rsidRDefault="00000000" w:rsidRPr="00000000" w14:paraId="00000031">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w:t>
      </w:r>
    </w:p>
    <w:bookmarkStart w:colFirst="0" w:colLast="0" w:name="bookmark=id.17dp8vu" w:id="7"/>
    <w:bookmarkEnd w:id="7"/>
    <w:p w:rsidR="00000000" w:rsidDel="00000000" w:rsidP="00000000" w:rsidRDefault="00000000" w:rsidRPr="00000000" w14:paraId="00000032">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EU GDPR, not transfer Personal Data outside of the EU unless the prior written consent of the Controller has been obtained and the following conditions are fulfilled:</w:t>
      </w:r>
    </w:p>
    <w:p w:rsidR="00000000" w:rsidDel="00000000" w:rsidP="00000000" w:rsidRDefault="00000000" w:rsidRPr="00000000" w14:paraId="00000033">
      <w:pPr>
        <w:numPr>
          <w:ilvl w:val="3"/>
          <w:numId w:val="4"/>
        </w:numPr>
        <w:pBdr>
          <w:top w:space="0" w:sz="0" w:val="nil"/>
          <w:left w:space="0" w:sz="0" w:val="nil"/>
          <w:bottom w:space="0" w:sz="0" w:val="nil"/>
          <w:right w:space="0" w:sz="0" w:val="nil"/>
          <w:between w:space="0" w:sz="0" w:val="nil"/>
        </w:pBdr>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34">
      <w:pPr>
        <w:numPr>
          <w:ilvl w:val="3"/>
          <w:numId w:val="4"/>
        </w:numPr>
        <w:pBdr>
          <w:top w:space="0" w:sz="0" w:val="nil"/>
          <w:left w:space="0" w:sz="0" w:val="nil"/>
          <w:bottom w:space="0" w:sz="0" w:val="nil"/>
          <w:right w:space="0" w:sz="0" w:val="nil"/>
          <w:between w:space="0" w:sz="0" w:val="nil"/>
        </w:pBdr>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has provided appropriate safeguards in relation to the transfer in accordance with Article 46 of the EU GDPR as determined by the Controller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 determined by the Controller;</w:t>
      </w:r>
    </w:p>
    <w:p w:rsidR="00000000" w:rsidDel="00000000" w:rsidP="00000000" w:rsidRDefault="00000000" w:rsidRPr="00000000" w14:paraId="00000035">
      <w:pPr>
        <w:numPr>
          <w:ilvl w:val="3"/>
          <w:numId w:val="4"/>
        </w:numPr>
        <w:pBdr>
          <w:top w:space="0" w:sz="0" w:val="nil"/>
          <w:left w:space="0" w:sz="0" w:val="nil"/>
          <w:bottom w:space="0" w:sz="0" w:val="nil"/>
          <w:right w:space="0" w:sz="0" w:val="nil"/>
          <w:between w:space="0" w:sz="0" w:val="nil"/>
        </w:pBdr>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36">
      <w:pPr>
        <w:numPr>
          <w:ilvl w:val="3"/>
          <w:numId w:val="4"/>
        </w:numPr>
        <w:pBdr>
          <w:top w:space="0" w:sz="0" w:val="nil"/>
          <w:left w:space="0" w:sz="0" w:val="nil"/>
          <w:bottom w:space="0" w:sz="0" w:val="nil"/>
          <w:right w:space="0" w:sz="0" w:val="nil"/>
          <w:between w:space="0" w:sz="0" w:val="nil"/>
        </w:pBdr>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EU GDPR by providing an adequate level of protection to any Personal Data that is transferred (or, if it is not so bound, uses its best endeavours to assist the Controller in meeting its obligations); </w:t>
      </w:r>
    </w:p>
    <w:p w:rsidR="00000000" w:rsidDel="00000000" w:rsidP="00000000" w:rsidRDefault="00000000" w:rsidRPr="00000000" w14:paraId="00000037">
      <w:pPr>
        <w:numPr>
          <w:ilvl w:val="3"/>
          <w:numId w:val="4"/>
        </w:numPr>
        <w:pBdr>
          <w:top w:space="0" w:sz="0" w:val="nil"/>
          <w:left w:space="0" w:sz="0" w:val="nil"/>
          <w:bottom w:space="0" w:sz="0" w:val="nil"/>
          <w:right w:space="0" w:sz="0" w:val="nil"/>
          <w:between w:space="0" w:sz="0" w:val="nil"/>
        </w:pBdr>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 </w:t>
      </w:r>
    </w:p>
    <w:p w:rsidR="00000000" w:rsidDel="00000000" w:rsidP="00000000" w:rsidRDefault="00000000" w:rsidRPr="00000000" w14:paraId="00000038">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8"/>
    <w:bookmarkEnd w:id="8"/>
    <w:p w:rsidR="00000000" w:rsidDel="00000000" w:rsidP="00000000" w:rsidRDefault="00000000" w:rsidRPr="00000000" w14:paraId="00000039">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3A">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3B">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3C">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3D">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3E">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F">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40">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41">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but not limited to promptly  providing:</w:t>
      </w:r>
    </w:p>
    <w:p w:rsidR="00000000" w:rsidDel="00000000" w:rsidP="00000000" w:rsidRDefault="00000000" w:rsidRPr="00000000" w14:paraId="00000042">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43">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the Controller  to comply with a Data Subject Access Request within the relevant timescales set out in the Data Protection Legislation; </w:t>
      </w:r>
    </w:p>
    <w:p w:rsidR="00000000" w:rsidDel="00000000" w:rsidP="00000000" w:rsidRDefault="00000000" w:rsidRPr="00000000" w14:paraId="00000044">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45">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46">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other regulatory authority, or any consultation by the Controller with the Information Commissioner's Office or any other regulatory authority.</w:t>
      </w:r>
    </w:p>
    <w:p w:rsidR="00000000" w:rsidDel="00000000" w:rsidP="00000000" w:rsidRDefault="00000000" w:rsidRPr="00000000" w14:paraId="00000047">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48">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49">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9"/>
      <w:bookmarkEnd w:id="9"/>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4A">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p w:rsidR="00000000" w:rsidDel="00000000" w:rsidP="00000000" w:rsidRDefault="00000000" w:rsidRPr="00000000" w14:paraId="0000004B">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4C">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4D">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4E">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F">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50">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51">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52">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p w:rsidR="00000000" w:rsidDel="00000000" w:rsidP="00000000" w:rsidRDefault="00000000" w:rsidRPr="00000000" w14:paraId="00000053">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54">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Commissioner’s Office, any relevant Central Government Body and/or any other regulatory authority. The Relevant Authority may on not less than thirty (30) Working Days’ notice to the Supplier amend the Contract to ensure that it complies with any non-mandatory guidance issued by the Information Commissioner’s Office, relevant Central Government Body and/or any other regulatory authority. </w:t>
      </w:r>
    </w:p>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56">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5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58">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59">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5A">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5B">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5C">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5D">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5E">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F">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60">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61">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62">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3">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64">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65">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66">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67">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68">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69">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6A">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6B">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6C">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D">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E">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72">
      <w:pPr>
        <w:keepNext w:val="1"/>
        <w:numPr>
          <w:ilvl w:val="3"/>
          <w:numId w:val="1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3">
      <w:pPr>
        <w:keepNext w:val="1"/>
        <w:numPr>
          <w:ilvl w:val="3"/>
          <w:numId w:val="1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4">
      <w:pPr>
        <w:keepNext w:val="1"/>
        <w:numPr>
          <w:ilvl w:val="3"/>
          <w:numId w:val="1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75">
      <w:pPr>
        <w:keepNext w:val="1"/>
        <w:numPr>
          <w:ilvl w:val="3"/>
          <w:numId w:val="1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76">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7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78">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and Processor for each Category of Personal Data</w:t>
            </w:r>
          </w:p>
        </w:tc>
        <w:tc>
          <w:tcPr>
            <w:shd w:fill="auto" w:val="clear"/>
          </w:tcPr>
          <w:p w:rsidR="00000000" w:rsidDel="00000000" w:rsidP="00000000" w:rsidRDefault="00000000" w:rsidRPr="00000000" w14:paraId="0000007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7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numPr>
                <w:ilvl w:val="0"/>
                <w:numId w:val="1"/>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7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80">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1">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8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numPr>
                <w:ilvl w:val="0"/>
                <w:numId w:val="1"/>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84">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86">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7">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88">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9">
            <w:pPr>
              <w:numPr>
                <w:ilvl w:val="0"/>
                <w:numId w:val="11"/>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B">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8D">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E">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F">
            <w:pPr>
              <w:numPr>
                <w:ilvl w:val="0"/>
                <w:numId w:val="10"/>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Supplier Personnel for which the Supplier is the Controller,</w:t>
            </w:r>
          </w:p>
          <w:p w:rsidR="00000000" w:rsidDel="00000000" w:rsidP="00000000" w:rsidRDefault="00000000" w:rsidRPr="00000000" w14:paraId="00000090">
            <w:pPr>
              <w:numPr>
                <w:ilvl w:val="0"/>
                <w:numId w:val="10"/>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91">
            <w:pPr>
              <w:numPr>
                <w:ilvl w:val="0"/>
                <w:numId w:val="10"/>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9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93">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94">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96">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97">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9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9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9B">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9C">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D">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F">
            <w:pPr>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transfers and legal gateway</w:t>
            </w:r>
          </w:p>
        </w:tc>
        <w:tc>
          <w:tcPr>
            <w:shd w:fill="auto" w:val="clear"/>
          </w:tcPr>
          <w:p w:rsidR="00000000" w:rsidDel="00000000" w:rsidP="00000000" w:rsidRDefault="00000000" w:rsidRPr="00000000" w14:paraId="000000A0">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[Explain where geographically personal data may be stored or accessed from. Explain the legal gateway you are relying on to export the data e.g. adequacy decision, EU SCCs, UK IDTA. Annex any SCCs or IDTA to this contract]</w:t>
            </w:r>
          </w:p>
        </w:tc>
      </w:tr>
      <w:tr>
        <w:trPr>
          <w:cantSplit w:val="0"/>
          <w:trHeight w:val="1660" w:hRule="atLeast"/>
          <w:tblHeader w:val="0"/>
        </w:trPr>
        <w:tc>
          <w:tcPr>
            <w:shd w:fill="auto" w:val="clear"/>
          </w:tcPr>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A2">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A3">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A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5">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6">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A7">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A8">
      <w:pPr>
        <w:keepNext w:val="1"/>
        <w:rPr>
          <w:rFonts w:ascii="Arial" w:cs="Arial" w:eastAsia="Arial" w:hAnsi="Arial"/>
          <w:sz w:val="24"/>
          <w:szCs w:val="24"/>
        </w:rPr>
      </w:pPr>
      <w:bookmarkStart w:colFirst="0" w:colLast="0" w:name="_heading=h.gjdgxs" w:id="10"/>
      <w:bookmarkEnd w:id="10"/>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A9">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AA">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using all reasonable endeavours  to comply with the UK GDPR regarding the exercise by Data Subjects of their rights under the UK GDPR;</w:t>
      </w:r>
    </w:p>
    <w:p w:rsidR="00000000" w:rsidDel="00000000" w:rsidP="00000000" w:rsidRDefault="00000000" w:rsidRPr="00000000" w14:paraId="000000AB">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AC">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AD">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AE">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Del="00000000" w:rsidR="00000000" w:rsidRPr="00000000">
        <w:rPr>
          <w:rFonts w:ascii="Arial" w:cs="Arial" w:eastAsia="Arial" w:hAnsi="Arial"/>
          <w:sz w:val="24"/>
          <w:szCs w:val="24"/>
          <w:highlight w:val="yellow"/>
          <w:rtl w:val="0"/>
        </w:rPr>
        <w:t xml:space="preserve">[Supplier’s/Relevant Authority’s]</w:t>
      </w:r>
      <w:r w:rsidDel="00000000" w:rsidR="00000000" w:rsidRPr="00000000">
        <w:rPr>
          <w:rFonts w:ascii="Arial" w:cs="Arial" w:eastAsia="Arial" w:hAnsi="Arial"/>
          <w:sz w:val="24"/>
          <w:szCs w:val="24"/>
          <w:rtl w:val="0"/>
        </w:rPr>
        <w:t xml:space="preserve"> privacy policy (which must be readily available by hyperlink or otherwise on all of its public facing services and marketing).</w:t>
      </w:r>
    </w:p>
    <w:p w:rsidR="00000000" w:rsidDel="00000000" w:rsidP="00000000" w:rsidRDefault="00000000" w:rsidRPr="00000000" w14:paraId="000000AF">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B0">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B1">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B2">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B3">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B4">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B5">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B6">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B7">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B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B9">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BA">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BB">
      <w:pPr>
        <w:numPr>
          <w:ilvl w:val="2"/>
          <w:numId w:val="3"/>
        </w:numPr>
        <w:pBdr>
          <w:top w:space="0" w:sz="0" w:val="nil"/>
          <w:left w:space="0" w:sz="0" w:val="nil"/>
          <w:bottom w:space="0" w:sz="0" w:val="nil"/>
          <w:right w:space="0" w:sz="0" w:val="nil"/>
          <w:between w:space="0" w:sz="0" w:val="nil"/>
        </w:pBdr>
        <w:tabs>
          <w:tab w:val="left" w:leader="none"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that disclosure or transfer of Personal Data is otherwise considered to be lawful processing of that Personal Data in accordance with Article 6 of the UK GDPR or EU GDPR (as the context requires).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BC">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BD">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BE">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use all reasonable endeavours  to ensure the reliability and integrity of any of its Personnel who have access to the Personal Data and ensure that its Personnel:</w:t>
      </w:r>
    </w:p>
    <w:p w:rsidR="00000000" w:rsidDel="00000000" w:rsidP="00000000" w:rsidRDefault="00000000" w:rsidRPr="00000000" w14:paraId="000000BF">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C0">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C1">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C2">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C3">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C4">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C5">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C6">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C7">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C8">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C9">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UK GDPR, not transfer such Personal Data outside of the UK unless the prior written consent of the non-transferring Party has been obtained and the following conditions are fulfilled:</w:t>
      </w:r>
    </w:p>
    <w:p w:rsidR="00000000" w:rsidDel="00000000" w:rsidP="00000000" w:rsidRDefault="00000000" w:rsidRPr="00000000" w14:paraId="000000CA">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DPA 2018 Section 74; or</w:t>
      </w:r>
    </w:p>
    <w:p w:rsidR="00000000" w:rsidDel="00000000" w:rsidP="00000000" w:rsidRDefault="00000000" w:rsidRPr="00000000" w14:paraId="000000CB">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has provided appropriate safeguards in relation to the transfer (whether in accordance with Article 46 of the UK GDPR or DPA 2018 Section 75) as agreed with the non-transferring Party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as well as any additional measures;</w:t>
      </w:r>
    </w:p>
    <w:p w:rsidR="00000000" w:rsidDel="00000000" w:rsidP="00000000" w:rsidRDefault="00000000" w:rsidRPr="00000000" w14:paraId="000000CC">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CD">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CE">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CF">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EU GDPR, not transfer such Personal Data outside of the EU unless the prior written consent of the non-transferring Party has been obtained and the following conditions are fulfilled:</w:t>
      </w:r>
    </w:p>
    <w:p w:rsidR="00000000" w:rsidDel="00000000" w:rsidP="00000000" w:rsidRDefault="00000000" w:rsidRPr="00000000" w14:paraId="000000D0">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D1">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w:t>
      </w:r>
    </w:p>
    <w:p w:rsidR="00000000" w:rsidDel="00000000" w:rsidP="00000000" w:rsidRDefault="00000000" w:rsidRPr="00000000" w14:paraId="000000D2">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D3">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its obligations under EU GDPR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D4">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D5">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D6">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D7">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D8">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D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DA">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DB">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using such reasonable endeavours  as are directed by the other Party to assist in the investigation, mitigation and remediation of a Personal Data Breach;</w:t>
      </w:r>
    </w:p>
    <w:p w:rsidR="00000000" w:rsidDel="00000000" w:rsidP="00000000" w:rsidRDefault="00000000" w:rsidRPr="00000000" w14:paraId="000000DC">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DD">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DE">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use all reasonable endeavours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DF">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E0">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E1">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E2">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E3">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E4">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E5">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E6">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E7">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E8">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28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EB">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EC">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ED">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F">
      <w:pPr>
        <w:numPr>
          <w:ilvl w:val="2"/>
          <w:numId w:val="7"/>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F0">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1">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F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 any relevant Central Government Body and/or any other regulatory authority. The Relevant Authority may on not less than thirty (30) Working Days’ notice to the Supplier amend the Contract to ensure that it complies with any guidance issued by the Information Commissioner, any relevant Central Government Body and/or any other regulatory authority.</w:t>
      </w:r>
    </w:p>
    <w:p w:rsidR="00000000" w:rsidDel="00000000" w:rsidP="00000000" w:rsidRDefault="00000000" w:rsidRPr="00000000" w14:paraId="000000F3">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F4">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 </w:t>
      </w:r>
      <w:r w:rsidDel="00000000" w:rsidR="00000000" w:rsidRPr="00000000">
        <w:rPr>
          <w:rFonts w:ascii="Arial" w:cs="Arial" w:eastAsia="Arial" w:hAnsi="Arial"/>
          <w:sz w:val="24"/>
          <w:szCs w:val="24"/>
          <w:highlight w:val="yellow"/>
          <w:rtl w:val="0"/>
        </w:rPr>
        <w:t xml:space="preserve">This clause represents a risk share, you may wish to reconsider the apportionment of liability and whether recoverability of losses are likely to be hindered by the contractual limitation of liability provisions]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F5">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F6">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F7">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F8">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F9">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FA">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FB">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FC">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FD">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F">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100">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101">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02">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103">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104">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105">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7">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1"/>
    <w:bookmarkEnd w:id="11"/>
    <w:p w:rsidR="00000000" w:rsidDel="00000000" w:rsidP="00000000" w:rsidRDefault="00000000" w:rsidRPr="00000000" w14:paraId="0000010A">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2"/>
      <w:bookmarkEnd w:id="12"/>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0">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RM6299</w:t>
      <w:tab/>
      <w:t xml:space="preserve">                                           </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3">
    <w:pPr>
      <w:spacing w:after="0" w:lineRule="auto"/>
      <w:rPr/>
    </w:pPr>
    <w:r w:rsidDel="00000000" w:rsidR="00000000" w:rsidRPr="00000000">
      <w:rPr>
        <w:rFonts w:ascii="Arial" w:cs="Arial" w:eastAsia="Arial" w:hAnsi="Arial"/>
        <w:sz w:val="20"/>
        <w:szCs w:val="20"/>
        <w:rtl w:val="0"/>
      </w:rPr>
      <w:t xml:space="preserve">Model Version: v4.7</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-13328</wp:posOffset>
          </wp:positionV>
          <wp:extent cx="849085" cy="685627"/>
          <wp:effectExtent b="0" l="0" r="0" t="0"/>
          <wp:wrapNone/>
          <wp:docPr descr="Crown Commercial Service" id="7"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3">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Default" w:customStyle="1">
    <w:name w:val="Default"/>
    <w:rsid w:val="00CC6340"/>
    <w:pPr>
      <w:autoSpaceDE w:val="0"/>
      <w:autoSpaceDN w:val="0"/>
      <w:adjustRightInd w:val="0"/>
      <w:spacing w:after="0" w:line="240" w:lineRule="auto"/>
    </w:pPr>
    <w:rPr>
      <w:rFonts w:ascii="Arial" w:cs="Arial" w:hAnsi="Arial"/>
      <w:color w:val="000000"/>
      <w:sz w:val="24"/>
      <w:szCs w:val="24"/>
    </w:rPr>
  </w:style>
  <w:style w:type="table" w:styleId="a3"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4"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13kFgYNOcoSnZF8UdycMLPXDqw==">CgMxLjAyCWguMWZvYjl0ZTIJaC4zMGowemxsMglpZC50eWpjd3QyCmlkLjNkeTZ2a20yCmlkLjF0M2g1c2YyCmlkLjRkMzRvZzgyCmlkLjJzOGV5bzEyCmlkLjE3ZHA4dnUyCmlkLjNyZGNyam4yCWguMjZpbjFyZzIIaC5namRneHMyCmlkLjFrc3Y0dXYyCWguNDRzaW5pbzgAciExcWUwY0M5VVpTNWpFY2tPbWw1WFVqQlptWXNHY21PZVA=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2023-10-06T12:52:00Z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